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596" w:rsidRPr="00193608" w:rsidRDefault="00241596" w:rsidP="002415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          </w:t>
      </w:r>
      <w:r w:rsidRPr="008218A0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 wp14:anchorId="56EDBA15" wp14:editId="7908A94B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8A0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8218A0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                       ПРОЄКТ</w:t>
      </w:r>
    </w:p>
    <w:p w:rsidR="00241596" w:rsidRPr="00241596" w:rsidRDefault="00241596" w:rsidP="00241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415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МІСЬКА    РАДА</w:t>
      </w:r>
    </w:p>
    <w:p w:rsidR="00241596" w:rsidRPr="00241596" w:rsidRDefault="00241596" w:rsidP="0024159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КИЇВСЬКОЇ </w:t>
      </w:r>
      <w:r w:rsidR="00DA5A3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ОБЛАСТІ</w:t>
      </w:r>
    </w:p>
    <w:p w:rsidR="00241596" w:rsidRDefault="008218A0" w:rsidP="00241596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ШІСТДЕСЯТ СЬОМА</w:t>
      </w:r>
      <w:r w:rsidR="002415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A5A3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СЕСІЯ  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ВОСЬМОГО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СКЛИКАННЯ</w:t>
      </w:r>
    </w:p>
    <w:p w:rsidR="00241596" w:rsidRPr="00DE3345" w:rsidRDefault="00241596" w:rsidP="00241596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(П О З А Ч Е Р Г О В Е   З А С І Д А Н </w:t>
      </w:r>
      <w:proofErr w:type="spellStart"/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</w:t>
      </w:r>
      <w:proofErr w:type="spellEnd"/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Я)</w:t>
      </w:r>
    </w:p>
    <w:p w:rsidR="00241596" w:rsidRPr="00241596" w:rsidRDefault="00241596" w:rsidP="0024159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.12.202</w:t>
      </w:r>
      <w:r w:rsidR="008218A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р. 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                                                        № </w:t>
      </w:r>
      <w:r w:rsidR="0019360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–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8218A0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67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-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val="en-US" w:eastAsia="ru-RU"/>
        </w:rPr>
        <w:t>V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ІІІ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Про умови оплати  праці  працівників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proofErr w:type="spellStart"/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міської ради на 202</w:t>
      </w:r>
      <w:r w:rsidR="005B4EC2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5</w:t>
      </w: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рік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На виконання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судді та інших органів»,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наказу Міністерства розвитку економіки, торгівлі та сільського господарства України від 23.03.2021 року          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органів»,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враховуючи</w:t>
      </w:r>
      <w:r w:rsidRPr="00241596">
        <w:rPr>
          <w:rFonts w:ascii="Times New Roman" w:eastAsiaTheme="minorEastAsia" w:hAnsi="Times New Roman"/>
          <w:sz w:val="25"/>
          <w:szCs w:val="25"/>
          <w:lang w:eastAsia="ru-RU"/>
        </w:rPr>
        <w:t xml:space="preserve"> пропозиції постійної комісії ради </w:t>
      </w:r>
      <w:r w:rsidR="00F541E6" w:rsidRPr="00241596">
        <w:rPr>
          <w:rFonts w:ascii="Times New Roman" w:eastAsiaTheme="minorEastAsia" w:hAnsi="Times New Roman"/>
          <w:sz w:val="26"/>
          <w:szCs w:val="26"/>
          <w:lang w:eastAsia="ru-RU"/>
        </w:rPr>
        <w:t xml:space="preserve">з питань </w:t>
      </w:r>
      <w:r w:rsidR="00F541E6">
        <w:rPr>
          <w:rFonts w:ascii="Times New Roman" w:eastAsiaTheme="minorEastAsia" w:hAnsi="Times New Roman"/>
          <w:sz w:val="26"/>
          <w:szCs w:val="26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Pr="00241596">
        <w:rPr>
          <w:rFonts w:ascii="Times New Roman" w:eastAsiaTheme="minorEastAsia" w:hAnsi="Times New Roman"/>
          <w:sz w:val="26"/>
          <w:szCs w:val="26"/>
          <w:lang w:eastAsia="ru-RU"/>
        </w:rPr>
        <w:t>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керуючись Законом України «Про місцеве самоврядування в Україні», міська рада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ab/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ВИРІШИЛА: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1. Установити з 01.01.202</w:t>
      </w:r>
      <w:r w:rsidR="005B4EC2">
        <w:rPr>
          <w:rFonts w:ascii="Times New Roman" w:eastAsiaTheme="minorEastAsia" w:hAnsi="Times New Roman" w:cs="Times New Roman"/>
          <w:sz w:val="25"/>
          <w:szCs w:val="25"/>
          <w:lang w:eastAsia="ru-RU"/>
        </w:rPr>
        <w:t>5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 міському голові, заступникам міського голови, секретарю ради, старостам, керуючому справами, керівним працівникам, спеціалістам і службовцям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та робітникам, зайнятим обслуговуванням, посадові оклади, обов`язкові надбавки та доплати у розмірах, встановлених постановою Кабінету </w:t>
      </w:r>
      <w:r w:rsidR="00CF11C5">
        <w:rPr>
          <w:rFonts w:ascii="Times New Roman" w:eastAsiaTheme="minorEastAsia" w:hAnsi="Times New Roman" w:cs="Times New Roman"/>
          <w:sz w:val="25"/>
          <w:szCs w:val="25"/>
          <w:lang w:eastAsia="ru-RU"/>
        </w:rPr>
        <w:t>М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судді та інших органів», 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наказом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Передбачити, згідно встановлених кошторисних призначень, річний фонд оплати праці міського голови, заступників міського голови, радника міського голови, секретаря ради,  старостів,  керуючого справами, керівних працівників, спеціалістів та службовців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та робітників, зайнятих обслуговуванням, створений у складі: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-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ранг;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           - надбавки за вислугу років (відсоток від посадового окладу з урахуванням доплати за ранг);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високі досягнення у праці або за виконання особливо важливої роботи ( у розмірі 50-100% від посадового окладу з урахуванням надбавки за ранг та вислугу років);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надбавки до посадових окладів працівникам, які працюють в умовах режимних обмежень ( до 20%);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доплати за науковий ступінь кандидата або доктора наук з відповідної                спеціальності – у розмірі відповідно 5 і 10 відсотків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доплати робітникам, що займаються обслуговуванням, за роботу у нічний час у розмірі до 35 відсотків годинної тарифної ставки за кожну годину роботи з 22 до 6 години ранку; доплату у розмірі 10 відсотків місячного окладу за використання в роботі дезінфекційних засобів, робітникам, які зайняті прибиранням туалетів; надбавки за класність водіям службових автомобілів у розмірі 10-25 % тарифної ставки за відпрацьований час, залежно від класу;</w:t>
      </w:r>
      <w:r w:rsidRPr="00241596">
        <w:rPr>
          <w:rFonts w:ascii="Times New Roman" w:eastAsiaTheme="minorEastAsia" w:hAnsi="Times New Roman" w:cs="Times New Roman"/>
          <w:b/>
          <w:sz w:val="26"/>
          <w:szCs w:val="26"/>
          <w:lang w:val="ru-RU"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доплат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>и</w:t>
      </w:r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за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ненормований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робочий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день у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розмірі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25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відсотків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тарифної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ставки за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відпрацьований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час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водіям службових автомобілів;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- надбавки робітникам, що займаються обслуговуванням, за складність, напруженість у роботі в розмірі до 50 відсотків тарифної ставки (місячного окладу);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-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допомоги для оздоровлення при наданні щорічної відпустки (у розмірі</w:t>
      </w:r>
      <w:r w:rsidR="005B4EC2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, що не перевищує середньомісячної заробітної плати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фонду преміювання, створеного відповідно до положення про преміювання працівників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згідно колективного договору.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3. Установити міському голові на період повноважень, відповідно до п. 2, п. 4, п. 6  та  додатку 50  Постанови № 268 від 09.03.2006 р. «Про упорядкування структури та умов оплати праці працівників апарату органів виконавчої влади, органів прокуратури, судді та інших органів», такі виплати: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315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посадовий оклад;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315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надбавку за ранг та надбавку за вислугу років;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надбавку за високі досягнення у праці або виконання особливо важливої роботи у розмірі 70 відсотків від посадового окладу з урахуванням надбавки за ранг та вислугу років;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щомісячну премію у розмірі </w:t>
      </w:r>
      <w:r w:rsidR="00B53559">
        <w:rPr>
          <w:rFonts w:ascii="Times New Roman" w:eastAsiaTheme="minorEastAsia" w:hAnsi="Times New Roman" w:cs="Times New Roman"/>
          <w:sz w:val="25"/>
          <w:szCs w:val="25"/>
          <w:lang w:eastAsia="ru-RU"/>
        </w:rPr>
        <w:t>97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відсотків від посадового окладу та разові премії до професійних та державних свят у розмірі, що встановлюється керівникам відділів та служб міської ради, у межах фонду преміювання, утвореного у розмірі не менш як 10 відсотків посадових окладів, та економії фонду оплати праці;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щорічну матеріальну допомогу для вирішення соціально-побутових питань, 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 у розмірі, що не перевищують середньомісячної заробітної плати;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- щорічну допомогу для оздоровлення при наданні щорічної відпустки, у розмірі, що не перевищує 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  - надбавку у розмірі 20 % до посадового окладу, залежно від ступеня секретності інформації, відповідно до постанови Кабінету Міністрів України від 15.06.1994 р. № 414 «Про види, розміри і порядок надання компенсації громадянам, у зв`язку з роботою, яка передбачає доступ до державної таємниці».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4. Встановити заступникам міського голови, старостам, секретарю ради, раднику міського голови, керуючому справами, керівним працівникам, спеціалістам та службовцям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посадові оклади відповідно до п. 1, п. 2 та додатків 50, 51 та 55 Постанови № 268 від 09.03.2006 р. «Про упорядкування структури та умов оплати праці працівників апарату органів виконавчої влади, органів прокуратури, судді та інших органів».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5. Встановити заступникам міського голови, секретарю ради, старостам, керуючому справами, раднику міського голови, керівникам і спеціалістам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які безпосередньо займаються розробленням проектів нормативних актів, що передбачено положенням про відповідний відділ чи управління, надбавку за високі досягнення у праці або виконання особливо важливої роботи - у розмірі до 100 відсотків до посадового окладу з урахуванням надбавки за ранг та вислугу років, відповідно до розпорядження міського голови. 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6. Здійснювати щомісячне преміювання заступників міського голови, секретаря ради, старостів, радника міського голови, керуючого справами, керівних працівників, спеціалістів, службовців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робітників, що займаються їх обслуговуванням,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 на підставі розпорядження міського голови та у межах фонду преміювання, утвореного у розмірі не менш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положення про преміювання та матеріальне стимулювання працівників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 згідно колективного договору.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7. Затвердити </w:t>
      </w:r>
      <w:r w:rsidR="004B1D4B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з 01.01.202</w:t>
      </w:r>
      <w:r w:rsidR="00F61C0D">
        <w:rPr>
          <w:rFonts w:ascii="Times New Roman" w:eastAsiaTheme="minorEastAsia" w:hAnsi="Times New Roman" w:cs="Times New Roman"/>
          <w:sz w:val="25"/>
          <w:szCs w:val="25"/>
          <w:lang w:eastAsia="ru-RU"/>
        </w:rPr>
        <w:t>5</w:t>
      </w:r>
      <w:r w:rsidR="004B1D4B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 </w:t>
      </w:r>
      <w:r w:rsidR="003447A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в новій редакції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штатний розпис </w:t>
      </w:r>
      <w:r w:rsidR="003447A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та структуру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по головному розпоряднику –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Бучанській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міській раді, згідно додатк</w:t>
      </w:r>
      <w:r w:rsidR="00851C12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ів 1, 2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до рішення.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8. Умови оплати праці, затверджені цим рішенням, застосовуються з 01 січня 202</w:t>
      </w:r>
      <w:r w:rsidR="00F61C0D">
        <w:rPr>
          <w:rFonts w:ascii="Times New Roman" w:eastAsiaTheme="minorEastAsia" w:hAnsi="Times New Roman" w:cs="Times New Roman"/>
          <w:sz w:val="25"/>
          <w:szCs w:val="25"/>
          <w:lang w:eastAsia="ru-RU"/>
        </w:rPr>
        <w:t>5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9. </w:t>
      </w:r>
      <w:r w:rsidRPr="00241596">
        <w:rPr>
          <w:rFonts w:ascii="Times New Roman" w:eastAsiaTheme="minorEastAsia" w:hAnsi="Times New Roman"/>
          <w:sz w:val="26"/>
          <w:szCs w:val="26"/>
          <w:lang w:eastAsia="ru-RU"/>
        </w:rPr>
        <w:t xml:space="preserve">Контроль за виконанням даного рішення покласти на постійну комісію ради з питань </w:t>
      </w:r>
      <w:r w:rsidR="00F61C0D">
        <w:rPr>
          <w:rFonts w:ascii="Times New Roman" w:eastAsiaTheme="minorEastAsia" w:hAnsi="Times New Roman"/>
          <w:sz w:val="26"/>
          <w:szCs w:val="26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  Міський голова                                                                              Анатолій ФЕДОРУК</w:t>
      </w: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218A0" w:rsidRDefault="008218A0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218A0" w:rsidRPr="00241596" w:rsidRDefault="008218A0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contextualSpacing/>
        <w:jc w:val="both"/>
        <w:rPr>
          <w:rFonts w:eastAsiaTheme="minorEastAsia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Заступник міського голови                                                                    </w:t>
      </w:r>
      <w:r w:rsidR="008218A0">
        <w:rPr>
          <w:rFonts w:ascii="Times New Roman" w:eastAsia="Times New Roman" w:hAnsi="Times New Roman" w:cs="Times New Roman"/>
          <w:sz w:val="25"/>
          <w:szCs w:val="25"/>
          <w:lang w:eastAsia="ru-RU"/>
        </w:rPr>
        <w:t>Дмитро ЧЕЙЧУК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8218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5B0188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</w:t>
      </w:r>
      <w:r w:rsidR="00E82917"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управління 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юридично-кадрової роботи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</w:t>
      </w:r>
      <w:r w:rsidR="005B0188">
        <w:rPr>
          <w:rFonts w:ascii="Times New Roman" w:eastAsia="Times New Roman" w:hAnsi="Times New Roman" w:cs="Times New Roman"/>
          <w:sz w:val="26"/>
          <w:szCs w:val="26"/>
          <w:lang w:eastAsia="ru-RU"/>
        </w:rPr>
        <w:t>Людмила РИЖЕНКО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8218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відділу бухгалтерського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обліку та фінансового забезпечення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Світлана ЯКУБЕНКО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8218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bookmarkStart w:id="0" w:name="_GoBack"/>
      <w:bookmarkEnd w:id="0"/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spacing w:after="200" w:line="276" w:lineRule="auto"/>
        <w:rPr>
          <w:rFonts w:eastAsiaTheme="minorEastAsia"/>
          <w:lang w:val="ru-RU" w:eastAsia="ru-RU"/>
        </w:rPr>
      </w:pPr>
    </w:p>
    <w:p w:rsidR="004472CB" w:rsidRPr="00241596" w:rsidRDefault="004472CB" w:rsidP="00241596"/>
    <w:sectPr w:rsidR="004472CB" w:rsidRPr="00241596" w:rsidSect="00AF149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7C"/>
    <w:rsid w:val="00193608"/>
    <w:rsid w:val="00241596"/>
    <w:rsid w:val="003447AB"/>
    <w:rsid w:val="0036521F"/>
    <w:rsid w:val="00416722"/>
    <w:rsid w:val="004472CB"/>
    <w:rsid w:val="004B1D4B"/>
    <w:rsid w:val="0053253A"/>
    <w:rsid w:val="005B0188"/>
    <w:rsid w:val="005B4EC2"/>
    <w:rsid w:val="006D42A6"/>
    <w:rsid w:val="006F5F4B"/>
    <w:rsid w:val="008218A0"/>
    <w:rsid w:val="00851C12"/>
    <w:rsid w:val="00AC2209"/>
    <w:rsid w:val="00B53559"/>
    <w:rsid w:val="00CF11C5"/>
    <w:rsid w:val="00D532D9"/>
    <w:rsid w:val="00DA5A36"/>
    <w:rsid w:val="00DE3345"/>
    <w:rsid w:val="00DF75F0"/>
    <w:rsid w:val="00E82917"/>
    <w:rsid w:val="00EE7824"/>
    <w:rsid w:val="00F541E6"/>
    <w:rsid w:val="00F61C0D"/>
    <w:rsid w:val="00F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84C8D"/>
  <w15:chartTrackingRefBased/>
  <w15:docId w15:val="{14BA3471-607D-463B-A4C1-CE81AEF4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5387</Words>
  <Characters>3071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16</cp:revision>
  <cp:lastPrinted>2023-12-19T08:06:00Z</cp:lastPrinted>
  <dcterms:created xsi:type="dcterms:W3CDTF">2023-12-17T15:27:00Z</dcterms:created>
  <dcterms:modified xsi:type="dcterms:W3CDTF">2024-12-15T11:49:00Z</dcterms:modified>
</cp:coreProperties>
</file>